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17/12-15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УПРАВЛЕНИЯ МНОГОКВАРТИРНЫМ ДОМОМ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ar-SA"/>
        </w:rPr>
        <w:t xml:space="preserve">                              г. Яхрома                                                                              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ar-SA"/>
        </w:rPr>
        <w:t xml:space="preserve"> 12.01.2015 г.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ar-SA"/>
        </w:rPr>
        <w:t xml:space="preserve">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Общество с ограниченной ответственностью  «Управляющая Компания «Яхонт» в лице Генерального директора  Левченко Сергея Ивановича,  действующего  на основании  Устава,  именуемое в дальнейшем "Управляющая компания", с одной стороны, и Собственники жилых   помещений (Приложение №1) в многоквартирном доме_(МКД) №17 по ул. Бусалова города Яхрома Дмитровского района МО, действующие на основании  правоустанавливающих документов, именуемые в дальнейшем «Собственники», согласно решения собственников помещений, заключили настоящий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договор о нижеследующем: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 Предмет договора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условиями настоящего договора управления многоквартирным домом Управляющая компания по заданию Собственников</w:t>
      </w:r>
      <w:bookmarkStart w:id="0" w:name="sub_16202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E6E61">
        <w:rPr>
          <w:rFonts w:ascii="Times New Roman" w:eastAsia="SimSun" w:hAnsi="Times New Roman" w:cs="Times New Roman"/>
          <w:sz w:val="24"/>
          <w:szCs w:val="24"/>
          <w:lang w:eastAsia="ar-SA"/>
        </w:rPr>
        <w:t>в течение согласованного срока за плату обязуется оказывать услуги и выполнять работы по надлежащему содержанию и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лицам, осуществлять иную направленную на достижение целей управления МКД деятельность.</w:t>
      </w:r>
      <w:proofErr w:type="gramEnd"/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SimSun" w:hAnsi="Times New Roman" w:cs="Times New Roman"/>
          <w:sz w:val="24"/>
          <w:szCs w:val="24"/>
          <w:lang w:eastAsia="ar-SA"/>
        </w:rPr>
        <w:t>1.2. В рамках исполнения Управляющей компанией обязательств, предусмотренных пунктом 1.1. настоящего договора, Собственники возлагают на Управляющую компанию следующие полномочия:</w:t>
      </w:r>
    </w:p>
    <w:bookmarkEnd w:id="0"/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1.1.1. выбор обслуживающих и </w:t>
      </w:r>
      <w:proofErr w:type="spell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ресурсоснабжающих</w:t>
      </w:r>
      <w:proofErr w:type="spell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организаций, а также заключение с ними договоров в интересах, от имени и за счет Собственников, по которым абонентами-потребителями будут являться Собственники.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1.1.2. представление интересов Собственников в органах государственной власти и местном самоуправлении, контрольных, надзорных и иных органах, перед Обслуживающими и другими организациями по вопросам, связанным с выполнением предмета настоящего договора.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Стороны при исполнении настоящего договора руководствуются условиями настоящего договора, а также нормами Гражданского и Жилищного кодексов Российской Федерации (далее – ГК РФ и ЖК РФ, соответственно), Правилами, регулирующими отношения </w:t>
      </w:r>
      <w:proofErr w:type="spell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наймодателей</w:t>
      </w:r>
      <w:proofErr w:type="spell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нанимателей жилых помещений, Правилами пользования жилыми помещениями гражданами, Правилами предоставления коммунальных услуг гражданам и другим нормативно-правовыми актами.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1.4.  Общая площадь квартир многоквартирного дома составляет 6 968,20 кв. м.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 Состав общего имущества многоквартирного дома, согласно ст. 36 ЖК РФ, в отношении которого будет осуществляться управление и обслуживание (далее - общее имущество в многоквартирном доме), является общедолевой собственностью   в данном доме, не является частями квартир и предназначено для обслуживания более одного помещения в данном доме, в том числе: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межквартирные лестничные площадки, лестницы;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лифты, лифтовые и иные шахты;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 подвалы);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крыши, ограждающие несущие и ненесущие конструкции данного дома;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1.6.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Содержание и текущий ремонт Общего имущества осуществляется Управляющей компанией в соответствии с п. 1.1 настоящего Договора, на основании Перечня работ и услуг по содержанию и текущему ремонту, согласно Приложения № 2 к Договору, на основании  нормативных правовых актов, принятых Правительством РФ и Федеральными </w:t>
      </w:r>
      <w:proofErr w:type="spell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органоми</w:t>
      </w:r>
      <w:proofErr w:type="spell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исполнительной власти, уполномоченным Правительством РФ, в соответствии с  минимальным перечнем услуг, утвержденным Правительством РФ и решением  Собственников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МКД.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Управляющая компания в 1-м квартале года следующего </w:t>
      </w:r>
      <w:proofErr w:type="gramStart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</w:t>
      </w:r>
      <w:proofErr w:type="gramEnd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предоставляет Собственникам отчет о работе за истекший период.   Председатель Совета МКД, выбранный на Общем собрании Собственников помещений, в 7-ми </w:t>
      </w:r>
      <w:proofErr w:type="spellStart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дневный</w:t>
      </w:r>
      <w:proofErr w:type="spellEnd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подписывает Отчет  и возвращает   один экземпляр в Управляющую компанию. Если в указанный срок в Управляющую компанию не поступил мотивированный отказ о приемке Отчета, то Отчет  считается  принятым.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 Отношения Управляющей компании с Собственниками нежилых помещений по настоящему договору строятся следующим образом: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1.9. Если нежилое помещение находится во владении одного лица (в собственности, хозяйственном ведении или оперативном управлении), то на такое лицо распространяются в полном объеме все условия настоящего договора, устанавливающие обязанности и ответственность для Собственников жилых помещений.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Права и обязанности сторон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2.1. 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Управляющая компания обязана: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2.1.1. Приступить к выполнению своих обязанностей по управлению многоквартирным </w:t>
      </w: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домом с 12.01. 2015 года, после подписания настоящего договора</w:t>
      </w: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2.1.2. Осуществлять прием работ и услуг, выполненных и оказанных обслуживающими и прочими организациями по заключенным с ними договорам.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2.1.3. Участвовать во всех проверках и обследованиях МКД, а также в составлении актов по фактам не предоставления и (или) некачественного предоставления услуг по содержанию и ремонту Общего имущества и предоставлению коммунальных услуг по настоящему договору.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2.1.4. Осуществлять начисление, сбор, разделение  и перерасчет платежей Собственников за содержание, текущий и капитальный ремонт и прочие услуги.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2.1.5.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Информировать Собственников через средства массовой информации либо путем вывешивания письменных извещений на информационных стендах (подъездах) об изменении размера платы за управление, содержание и ремонт Общего имущества дома, не позднее, чем за 30 дней до даты представления платежных документов, на основании которых будет вноситься плата за управление, содержание и обслуживание Общего имущества дома.</w:t>
      </w:r>
      <w:proofErr w:type="gramEnd"/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2.1.6. Обеспечить Собственников информацией о телефонах диспетчерских (аварийных) служб, путем указания этой информации на платежных документах и размещения объявлений на информационных стендах (или табличках) МКД.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2.1.7. Обеспечить Собственникам оказание услуг при подготовке к  паспортному учету.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2.1.8. Ежегодно, не позднее первого полугодия года, следующего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отчетным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на Общем собрании </w:t>
      </w: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заседании Совета МКД, с участием всех желающих собственников </w:t>
      </w: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помещений МКД, или через доведение информации в общедоступных</w:t>
      </w: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местах, предоставлять Собственникам отчет о выполнении договора управления за предыдущий год.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2.1.9. Осуществлять ведение технической документации на дом и инженерные сооружения (при их наличии).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2.1.10. Осуществлять заключение и обеспечение договоров найма и  аренды Общего имущества дома, с последующим расходованием денежных средств, полученных от хозяйственной деятельности с использованием Общего имущества, на содержание, текущий и капитальный ремонт, а также на иные цели, устанавливаемые решением Общего собрания  Собственников многоквартирного дома </w:t>
      </w: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решением Совета МКД.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2.1.11. По требованию Собственника выдавать  справки о составе его семьи с указанием количества проживающих в жилом помещении, отсутствии (наличии) задолженности и иную информацию в пределах компетенции Управляющей компании, при предъявлении Собственником  документов, удостоверяющих личность, правоустанавливающих документов на  помещение.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2.1.12. Осуществлять контроль над качеством и сроками выполнения работ, порученных организациям, оказывающим услуги по содержанию и текущему ремонту общего имущества многоквартирного дома, в соответствии с критериями качества, установленными договором с такой организацией, Правилами и нормами технической эксплуатации жилищного фонда, требованиями ГОСТов, СНиПов и СанПиНов.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2.1.13. Осуществить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качеством предоставляемых </w:t>
      </w:r>
      <w:proofErr w:type="spell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ресурсоснабжающими</w:t>
      </w:r>
      <w:proofErr w:type="spell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организациями  коммунальных услуг.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2.1.14. Выполнять прочие функции и обязанности, связанные с защитой прав и интересов Собственников помещений.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2.1.15. Осуществлять  рассмотрение жалоб Собственников на действие (бездействие) обслуживающих и прочих организаций.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2.1.19. Осуществлять подготовку и предоставление Собственникам предложений по вопросу  текущего и капитального ремонта, реконструкции Общего имущества.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2.2. 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Управляющая компания имеет право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2.2.1. Осуществлять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использованием по назначению жилого (нежилого) помещения и мест общего пользования.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2.2.2. Производить осмотры состояния инженерного оборудования жилого (нежилого) помещения, поставив в известность Собственника о дате и времени такого осмотра.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2.2.3. Определять периодичность выполнения необходимых работ по содержанию, текущему ремонту общего имущества,  на основании актов обследований многоквартирного дома, решения Общего собрания и заявок Собственников, а также объема поступивших средств от Собственников.</w:t>
      </w:r>
    </w:p>
    <w:p w:rsidR="007E6E61" w:rsidRPr="007E6E61" w:rsidRDefault="007E6E61" w:rsidP="007E6E6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2.2.4. Выдавать Собственникам предписание (предупреждение) о необходимости устранения нарушений, связанных с использованием помещения и общего имущества не по назначению, либо с ущемлением прав и интересов других Собственников. В случае невыполнения предписания, Управляющая компания имеет право обратиться в суд либо в орган местного самоуправления о решении вопроса по  прекращению права собственности на бесхозяйственное содержание жилого помещения, согласно ст. 293 ГК РФ.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2.2.5. Проводить плановые и внеплановые обследования и проверки санитарно-технического содержания многоквартирного дома и придомовой территории.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2.2.6. Доступа в помещения Собственников для обследования, обслуживания и ремонта общедомовых инженерных сетей, предназначенных для обслуживания более одного помещения, согласовав производимые мероприятия с Собственником, согласно </w:t>
      </w: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Правил пользования жилыми помещениями, Правил предоставления коммунальных услуг гражданам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2.2.7. По решению Общего собрания Собственников или Совета МКД инвестировать средства в общее имущество с их последующим возмещением Собственниками.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2.2.8. Использовать, с согласия Собственников, нежилые помещения, относящиеся к общему имуществу Собственников, для выполнения услуг и работ по содержанию, текущему и капитальному ремонту общего имущества.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2.2.9. Принимать решение, с учетом предложений Собственников,  о включении в план работ  по содержанию и ремонту общего имущества в многоквартирном доме, имеющих первостепенное значение для обеспечения комфортных и безопасных условий проживания граждан.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2.2.10. Выполнять работы и оказывать услуги, не предусмотренные в составе перечня работ и услуг, утвержденного Договором, если необходимость их проведения вызвана необходимостью устранения угрозы жизни и здоровья, проживающих в многоквартирном доме, устранения последствий аварий или угрозы наступления ущерба общему имуществу Собственников помещений, о чем Управляющая компания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или капитальному ремонту. Информирование собственников осуществляется путем вывешивания уведомления на входных дверях каждого подъезда либо стендах.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2.2.11. Выполнять условия договора только в рамках поступивших денежных средств от Собственников.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2.2.12. Применять меры, предусмотренные законодательством РФ, в случае нарушения Собственниками сроков оплаты предоставленных услуг, требовать устранения задолженности с Собственников по оплате предоставленных услуг. В случае неоплаты услуг более трех месяцев Управляющая компания вправе приостановить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подачу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какой либо из услуг собственнику, за исключением услуг приостановление которых не допускается Законодательством РФ, вплоть до полного погашения образовавшейся задолженности, а также  Управляющая компания вправе обращаться в суд для взыскания образовавшейся задолженности по оплате услуг.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2.2.13. Выполнять дополнительные работы, не предусмотренные перечнем работ и услуг, утвержденным Договором, на основании дополнительного соглашения и за дополнительную плату, согласно ст. 158 ЖК РФ.</w:t>
      </w:r>
    </w:p>
    <w:p w:rsidR="007E6E61" w:rsidRPr="007E6E61" w:rsidRDefault="007E6E61" w:rsidP="007E6E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E6E61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 2.2.14. </w:t>
      </w:r>
      <w:r w:rsidRPr="007E6E61">
        <w:rPr>
          <w:rFonts w:ascii="Times New Roman" w:eastAsia="Arial" w:hAnsi="Times New Roman" w:cs="Times New Roman"/>
          <w:sz w:val="24"/>
          <w:szCs w:val="24"/>
          <w:lang w:eastAsia="ar-SA"/>
        </w:rPr>
        <w:t>Вносить постатейные изменения в смету расходов на коммунально-эксплуатационное обслуживание без уведомления Потребителя, если это не ведет к изменению общей стоимости работ и услуг по Договору, а также не влияет на качество и своевременность предоставляемых услуг.</w:t>
      </w:r>
      <w:r w:rsidRPr="007E6E6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2.2.15. Организовать приостановку  предоставления коммунальных услуг, предусмотренных настоящим договором, в случае неисполнения Собственниками обязательств по оплате  в установленный договором срок в соответствии с законодательством.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2.3. Собственник  обязан: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2.3.1. Самостоятельно нести бремя по содержанию принадлежащего ему имущества (в том числе общего, пропорционально площади занимаемого Собственником помещения), независимо от наличия зарегистрированного права собственности и проживания в жилом помещении, согласно ст. 39 ЖК РФ.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2.3.2. Своевременно, не позднее 10-го числа месяца, следующего за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расчетным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перечислять денежные средства по оплате предоставленных услуг,  на специальный банковский счет Управляющей компании, указанный в счетах-извещениях. Оплачивать </w:t>
      </w: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другие услуги, предоставленные в соответствии с решением Общего собрания Собственников многоквартирного дома, согласно ст. 155 ЖК РФ.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2.3.3. Своевременно предоставлять Управляющей компании достоверные сведения о количестве лиц, проживающих в принадлежащем ему жилом помещении.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2.3.4. На период отсутствия проживающих в жилых помещениях или не предоставления нежилых помещений в пользование иным лицам, оплачивать Управляющей компании работы, услуги по содержанию и ремонту общего имущества  в соответствии с порядком установленным разделом 3 настоящего договора.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2.3.5. При заключении договоров социального найма или найма, в период действия договора,  Собственник муниципальных помещений обязан информировать нанимателей об условиях настоящего договора.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2.3.6. Обеспечить доступ в помещение для  обследования конструктивных элементов, обслуживания и ремонта внутренних инженерных сетей, предназначенных для обслуживания более одного помещения, в том числе для устранения аварийных ситуаций, согласно Правил пользования жилыми помещениями, Правил предоставления коммунальных услуг гражданам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  <w:proofErr w:type="gramEnd"/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2.3.7. Предоставлять Управляющей компании информацию о лицах (контактные телефоны, адреса), имеющих доступ в  помещение в случае временного отсутствия собственника на случай проведения аварийных и иных работ. В случае возникновения препятствий доступа в занимаемые помещения, представителями Управляющей компанией составляется акт.  При этом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случае возникновения аварийной ситуации и причинения ущерба Собственникам, третьим лицам, Управляющая компания не несет ответственности за причиненный ущерб Собственнику и третьим лицам. На Собственника, не предоставившего доступа в занимаемое помещение, возлагается ответственность за  причиненный ущерб по его вине Собственникам и третьим лицам, а также по оплате недопоставленных услуг за весь период недопоставки.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2.3.8. Собственник обязан предоставить и обеспечить доступ к общедомовым инженерным коммуникациям, расположенным в помещении Собственника. В случае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общедомовые инженерные коммуникации закрыты облицовочными материалами, Собственник обязан за свой счет демонтировать их и обеспечить доступ. Расходы на данные работы Управляющей компанией не возмещаются.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2.3.9.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возникновении аварии в помещении Собственника вследствие засора канализации, аварии в системе водоснабжения, энергоснабжения и других коммуникациях по вине Собственника, последний обязан принять меры по устранению аварии  за свой счет.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Собственник несет ответственность за вред, причиненный по его вине третьим лицам. Авария должна быть устранена Собственником или Управляющей компанией за счет Собственника.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2.3.10. Соблюдать Правила пожарной безопасности, Правила пользования жилыми помещениями, Правила содержания и пользования общим имуществом многоквартирного дома, Правила и нормы технической эксплуатации жилищного фонда,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2.3.11. Содержать балконы и лоджии в надлежащем состоянии, не допускать разрушение  конструкций. В зимний период по мере накопления снега на балконах и козырьках балконов очищать балконы и козырьки от снега и сосулек, соблюдая технику безопасности по отношению к третьим лицам.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2.3.12. Самостоятельно производить утепление принадлежащего Собственнику жилого (нежилого) помещения.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2.3.13. Обеспечить надлежащее содержание  и в случае необходимости замену приборов учета коммунальных услуг за свой счет, согласно </w:t>
      </w:r>
      <w:proofErr w:type="spell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ст.ст</w:t>
      </w:r>
      <w:proofErr w:type="spell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290 ГК РФ, 36 ЖК РФ,  п. 5.6.2 Правил и норм технической эксплуатации жилищного фонда в РФ.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2.3.14.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Ознакомить всех совместно проживающих с ним лиц с условиями настоящего договора и обеспечить выполнение этих условий данными людьми.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2.3.15. При принятии решения о проведении работ по капитальному ремонту, находящихся в собственности помещений, а также устройств, находящихся в них и предназначенных для предоставления коммунальных услуг, уведомить об этом Управляющую компанию.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2.3.16. Сообщать в Управляющую компанию о заключенных договорах найма.  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2.4. Собственники</w:t>
      </w:r>
      <w:r w:rsidRPr="007E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имеют право: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2.4.1. На добросовестное и качественное обеспечение содержания многоквартирного дома.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2.4.2. На самостоятельное осуществление прав в пользовании жилым помещением.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2.4.3. Пользоваться льготами и компенсациями (субсидиями) по оплате жилищно-коммунальных услуг в соответствии с действующим законодательством.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2.4.4. Принимать участие в Общих собраниях Собственников помещений многоквартирного дома.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2.4.5. В согласованные с ответственными лицами Управляющей компании сроки  проверять объемы, качество и периодичность оказания услуг и выполнения работ, в том числе путем проведения соответствующих экспертиз.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2.4.6. Требовать от ответственных лиц Управляющей компании, в части взятых ими обязательств, устранения выявленных дефектов и проверять полноту и своевременность их устранения.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2.4.7. Принимать решение с учетом предложений Управляющей компании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предложениях, связанных с условием проведения капитального ремонта. Отношения, связанные с проведением капитального ремонта многоквартирного дома, регулируются отдельным договором, заключаемым Собственниками и Управляющей компанией после принятия соответствующего решения Собственниками в порядке, установленном ЖК РФ.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2.4.8. Привлекать представителя Управляющей компании для проведения осмотров, обследования санитарного и технического состояния жилых (нежилых) помещений и общего имущества, придомовой территории, а также для установления факта не предоставления и (или) </w:t>
      </w: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предоставления</w:t>
      </w: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жилищно-коммунальных услуг ненадлежащего качества. 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Цена договора. Порядок определения цены договора. Порядок оплаты.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Плата за содержание и ремонт помещений определяется исходя из стоимости соответствующих работ, услуг для каждого Собственника пропорционально доле, принадлежащего ему помещения в праве собственности Собственников таких помещений на Общее имущество. </w:t>
      </w:r>
    </w:p>
    <w:p w:rsidR="007E6E61" w:rsidRPr="007E6E61" w:rsidRDefault="007E6E61" w:rsidP="007E6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Плата за жилое (нежилое) помещение для Собственников включает в себя плату за содержание и текущий ремонт, которая в свою очередь включает в себя плату за услуги по управлению многоквартирным домом, содержание и текущий ремонт общего имущества многоквартирного дома в соответствии  с ЖК РФ.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за коммунальные услуги включает в себя плату  водоснабжение, водоотведение, электроснабжение, по тарифам, устанавливаемым для соответствующих </w:t>
      </w:r>
      <w:proofErr w:type="spellStart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ресурсоснабжающих</w:t>
      </w:r>
      <w:proofErr w:type="spellEnd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организаций.</w:t>
      </w:r>
    </w:p>
    <w:p w:rsidR="007E6E61" w:rsidRPr="007E6E61" w:rsidRDefault="007E6E61" w:rsidP="007E6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Размер платы  за работы и услуги по содержанию и текущему ремонту общего имущества МКД принимается на Общем собрании Собственников. Размер тарифа на ремонт и содержание жилья может определяться в размере, установленном Администрацией города или предложенный на основе расчетов  Управляющим и принятых Собственниками.</w:t>
      </w:r>
    </w:p>
    <w:p w:rsidR="007E6E61" w:rsidRPr="007E6E61" w:rsidRDefault="007E6E61" w:rsidP="007E6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3.4. Стоимость услуг, определенных в пункте 3.2 настоящего договора индексируется в связи с инфляцией и/или изменения стоимости работ/услуг сторонних организаций, предоставляющих услуги по договорам, заключенным Управляющим для достижения целей управления МКД, но не чаще одного раза в год. Управляющая компания  доводит до сведения Собственников информацию об изменении стоимости услуг. </w:t>
      </w:r>
    </w:p>
    <w:p w:rsidR="007E6E61" w:rsidRPr="007E6E61" w:rsidRDefault="007E6E61" w:rsidP="007E6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Об изменении стоимости услуг Собственник считается оповещенным надлежащим образом с момента опубликования такой информации в средствах массовой информации и на сайте Управляющей компании. Управляющая компания может дополнительно уведомить об изменении стоимости услуг по договору размещением объявления в общедоступных местах, утвержденных решением Общего собрания.</w:t>
      </w:r>
    </w:p>
    <w:p w:rsidR="007E6E61" w:rsidRPr="007E6E61" w:rsidRDefault="007E6E61" w:rsidP="007E6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Неиспользование Собственниками, нанимателями и иными лицами помещения не является основанием невнесения платы за жилое (нежилое) помещение и коммунальные услуги.</w:t>
      </w:r>
    </w:p>
    <w:p w:rsidR="007E6E61" w:rsidRPr="007E6E61" w:rsidRDefault="007E6E61" w:rsidP="007E6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Плата по настоящему договору вносится на специальный банковский счет, указанный в счете-извещении Управляющей компании не позднее 10 числа месяца, следующего за </w:t>
      </w:r>
      <w:proofErr w:type="gramStart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расчетным</w:t>
      </w:r>
      <w:proofErr w:type="gramEnd"/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 выставленного счета-извещения. Счет-извещение направляется  Собственнику по месту нахождения помещения Собственника.</w:t>
      </w:r>
    </w:p>
    <w:p w:rsidR="007E6E61" w:rsidRPr="007E6E61" w:rsidRDefault="007E6E61" w:rsidP="007E6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В случае несвоевременного внесения платежей за жилищно-коммунальные услуги, Собственник уплачивает пени в размере одной трехсотой действующей в момент оплаты ставки рефинансирования Центрального банка РФ, от невыплаченной в срок суммы за каждый день просрочки платежа. Управляющая компания предъявляет к оплате пени отдельной строкой в счете-извещении, ежемесячно выставляемой Собственнику, которая подлежит оплате одновременно с оплатой услуг.</w:t>
      </w:r>
    </w:p>
    <w:p w:rsidR="007E6E61" w:rsidRPr="007E6E61" w:rsidRDefault="007E6E61" w:rsidP="007E6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Ответственность Сторон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4.1.При несоблюдении условий настоящего договора, виновная Сторона несет ответственность в соответствии с действующим законодательством Российской Федерации.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4.2. Управляющая компания несет ответственность по настоящему Договору в объемах взятых обязательств (в границах эксплуатационной ответственности) с момента вступления Договора в силу.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 Собственники не отвечают по обязательствам Управляющей компании, которые возникли не по поручению Собственников. Управляющая компания не отвечает по обязательствам Собственников.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4.4.При выявлении Управляющей компанией факта проживания в квартире Собственника лиц, не зарегистрированных в установленном порядке, и невнесения за них платы 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фактически проживающих.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4.5. Управляющая компания не несет ответственности за ущерб, возникший по причине неудовлетворительного технического состояния общего имущества, возникшего до заключения настоящего договора. (Акт разграничения ответственности сторон).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4.6. В случае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истечения нормативного срока эксплуатации общего имущества многоквартирного дома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4.7. Управляющая компания не несет ответственности  и не возмещает убытки и причиненный ущерб общему имуществу, если они возникли в результате: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-противоправных действий (бездействий)  Собственников и лиц, проживающих в помещениях Собственников;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-использования общего имущества не по назначению и с нарушением действующего законодательства;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-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выполнения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Собственниками своих обязательств  по  настоящему договору;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-в случае пожара, возникшего в помещении по вине Собственника либо третьих лиц и причинившего вред общему имуществу.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4.8.Управляющая компания не несет ответственность по обязательствам Собственников, в том числе по обязательным платежам: плате за содержание и ремонт общего имущества и   плате за коммунальные услуги.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4.9. Управляющая компания не несет ответственность за ненадлежащее содержание общего имущества, если Собственники помещений не профинансировали работы по его содержанию и ремонту.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5. Действие непреодолимой силы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6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Ни одна из Сторон не несет ответственность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эпидемию, блокаду, эмбарго,  землетрясение и др.   </w:t>
      </w:r>
      <w:r w:rsidRPr="007E6E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6E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6.</w:t>
      </w: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Срок действия договора          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6.1. Настоящий договор вступает в действие с момента подписания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,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действует в течение 5 (пяти) лет. Оплата Собственником текущего платежа за содержание и ремонт жилья  по счету-извещению, является действием, свидетельствующим о полном и безоговорочном акцепте настоящей оферты (полное достижение соглашения по всем существенным пунктам договора).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6.2. При отсутствии, не менее чем за 3 месяца до окончания срока действия настоящего договора, заявления одной из Сторон о прекращении его действия, договор считается продленным на тот же срок и на тех же условиях, какие предусмотрены настоящим договором.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 Изменение и расторжение договора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7.1. Изменения и дополнения в настоящий договор допускаются по письменному соглашению Сторон.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7.2. Договор прекращает свое действие в случаях: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- прекращения права собственности на жилое (нежилое) помещение или смерти Собственника. В случаях смерти лица, с которым заключен настоящий договор, или утраты им права собственности, договор подлежит переоформлению с лицо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м(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ми), у которого(</w:t>
      </w:r>
      <w:proofErr w:type="spell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</w:t>
      </w:r>
      <w:proofErr w:type="spell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возникает право на данное жилое помещение в силу закона или завещания;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- соглашения сторон;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- других обстоятельств, предусмотренных действующим законодательством РФ.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7.3. При расторжении настоящего договора, а также по окончании срока его действия Управляющая компания производит сверку расчетов по настоящему договору. Стороны обязаны завершить финансовые расчеты в течение 3-х месяцев с момента уведомления о расторжении договора.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7.4. Решение о досрочном расторжении настоящего договора по инициативе Собственников, принятом на Общем собрании, допускается по причине  изменения ими способа управления многоквартирным домом при условии возмещения Управляющей </w:t>
      </w: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компании неустойки в размере месячной стоимости работ и услуг, формирующей цену в месяц, следующий за месяцем, в котором расторгается настоящий договор.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7.5. Досрочное расторжение настоящего Договора по инициативе Управляющей компании допускается при существенном нарушении договора со стороны Собственников.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этом существенным признается нарушение Собственниками обязанностей по оплате Управляющей компании выполненных работ, а также оказанных услуг, если такая неоплата привела к общей сумме задолженности перед Управляющей компанией и предприятий-поставщиков услуг на сумму более 30 % от цены договора управления за 6 предыдущих месяцев, и Управляющая компания предприняла все возможные действия к взысканию такой задолженности. </w:t>
      </w:r>
      <w:proofErr w:type="gramEnd"/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E6E61" w:rsidRPr="007E6E61" w:rsidRDefault="007E6E61" w:rsidP="007E6E61">
      <w:pPr>
        <w:shd w:val="clear" w:color="auto" w:fill="FFFFFF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8. Прочие условия</w:t>
      </w:r>
    </w:p>
    <w:p w:rsidR="007E6E61" w:rsidRPr="007E6E61" w:rsidRDefault="007E6E61" w:rsidP="007E6E61">
      <w:pPr>
        <w:shd w:val="clear" w:color="auto" w:fill="FFFFFF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8.1.  Настоящий договор подписывается Управляющей компанией и Собственниками на основании  Акта приемки готового жилого дома в эксплуатацию и подписания Актов приемк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и-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передачи жилого помещения, подписываемого Собственником с Застройщиком. Право собственности на жилое помещение и долю в общем имуществе МКД возникает у Собственника после подписания Акта приемки-передачи помещения в собственность. С момента подписания Акта приемки-передачи помещения в собственность у Собственника возникает обязанность по оплате за содержание общего имущества и потребляемые ресурсы, в том числе и на общедомовые нужды.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8.2. Настоящий договор составлен на 22 (двадцати двух) листах, включая  приложение №1 и №2  в количестве одного экземпляра, который хранится в Управляющей компании. По письменному заявлению Собственника, Управляющая компания обязуется предоставить копию договора Собственнику или подписать данный Договор с Собственником в индивидуальном порядке, на тех же условиях с идентичным текстом.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8.3. После исполнения условия подписания настоящего договора, установленного в       п. 2.1.1 договора, Управляющая компания информирует Собственников о дате вступления настоящего договора в силу и дате начала управления многоквартирным домом путем размещения соответствующей информации на информационном стенде или на подъездах многоквартирного дома.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8.4. Условия настоящего договора распространяются на Собственников, приобретающих права владения на помещения в многоквартирном доме после вступления в силу настоящего договора,  </w:t>
      </w:r>
      <w:proofErr w:type="gramStart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даты приобретения</w:t>
      </w:r>
      <w:proofErr w:type="gramEnd"/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соответствующего права.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8.5. Собственник муниципального имущества переуступает Управляющей компании право требования исполнения обязательств лицами, пользующимися помещениями Собственника (нанимателя), в части своевременной оплаты услуг и работ по содержанию и ремонту общего имущества.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8.6. Граница эксплуатационной ответственности между общедомовым оборудованием и  оборудованием помещения в многоквартирном доме определяется в соответствии с Правилами содержания общего имущества в многоквартирном доме, утверждаемыми Правительством РФ в порядке, предусмотренном действующим законодательством РФ.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8.7. Все споры или разногласия по договору разрешаются путем переговоров. В случае невозможности разрешения разногласий путем переговоров, они подлежат рассмотрению в судебном порядке по месту нахождения помещения Собственника.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8.8. Все возникшие претензии по реализации настоящего договора должны быть рассмотрены Сторонами в течение 30-ти дней с момента получения претензии (кроме аварийных случаев). Претензии могут быть предъявлены Собственником в течение 30 дней с даты, когда он узнал или должен был узнать о нарушении его прав.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8.9. Собственники взаимодействуют с Управляющей компанией по вопросам настоящего договора через Совет дома.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8.10.Контроль исполнения Управляющей компанией договорных обязательств осуществляется Советом дома.  </w:t>
      </w:r>
    </w:p>
    <w:p w:rsidR="007E6E61" w:rsidRPr="007E6E61" w:rsidRDefault="007E6E61" w:rsidP="007E6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sz w:val="24"/>
          <w:szCs w:val="24"/>
          <w:lang w:eastAsia="ar-SA"/>
        </w:rPr>
        <w:t>8.11.Взаимоотношения Сторон, не урегулированные настоящим договором, регламентируются действующим законодательством РФ.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8.12. Приложения к данному договору являются неотъемлемой частью договора.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К настоящему договору прилагаются: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lang w:eastAsia="ar-SA"/>
        </w:rPr>
        <w:t xml:space="preserve">Приложение № 1. Реестр собственников многоквартирного дома. 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E6E61">
        <w:rPr>
          <w:rFonts w:ascii="Times New Roman" w:eastAsia="Times New Roman" w:hAnsi="Times New Roman" w:cs="Times New Roman"/>
          <w:color w:val="000000"/>
          <w:lang w:eastAsia="ar-SA"/>
        </w:rPr>
        <w:t>Приложение № 2 Перечень услуг и работ организации, оказывающей услуги по содержанию и текущему ремонту общего имущества многоквартирного дома с периодичностью оказания услуг и стоимостью.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9. Адреса, реквизиты и подписи сторон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УПРАВЛЯЮЩАЯ КОМПАНИЯ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ООО «Управляющая Компания «Яхонт»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140000, Россия, МО, Дмитровский р-н., г. Яхрома, ул. Парковая д.8 п.3</w:t>
      </w:r>
      <w:proofErr w:type="gramEnd"/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Телефон 8-916-0686-777 . сайт </w:t>
      </w:r>
      <w:hyperlink r:id="rId6" w:history="1"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www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.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uk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-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yhont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.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e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mail</w:t>
      </w: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hyperlink r:id="rId7" w:history="1"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uk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-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yahont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@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ya</w:t>
        </w:r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7E6E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ИНН/КПП </w:t>
      </w:r>
      <w:r w:rsidRPr="007E6E61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5007087120/500701001 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Cambria" w:eastAsia="Times New Roman" w:hAnsi="Cambria" w:cs="Times New Roman"/>
          <w:b/>
          <w:sz w:val="24"/>
          <w:szCs w:val="24"/>
          <w:lang w:eastAsia="ar-SA"/>
        </w:rPr>
        <w:t>ОГРН 1135007002745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</w:t>
      </w:r>
      <w:proofErr w:type="gramEnd"/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/С   40702810280610002368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ФИЛИАЛ №13 «ПОДМОСКОВЬЕ»  АКБ МОСОБЛБАНК ОАО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К/С   30101810200000000055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БИК  044651055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Генеральный директор ООО «УК «Яхонт» ________________ С.И. Левченко.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7E6E6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</w:t>
      </w:r>
      <w:proofErr w:type="spellStart"/>
      <w:r w:rsidRPr="007E6E6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м.п</w:t>
      </w:r>
      <w:proofErr w:type="spellEnd"/>
      <w:r w:rsidRPr="007E6E6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.</w:t>
      </w: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E61" w:rsidRPr="007E6E61" w:rsidRDefault="007E6E61" w:rsidP="007E6E6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82747" w:rsidRDefault="00282747">
      <w:bookmarkStart w:id="1" w:name="_GoBack"/>
      <w:bookmarkEnd w:id="1"/>
    </w:p>
    <w:sectPr w:rsidR="0028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C7"/>
    <w:rsid w:val="00282747"/>
    <w:rsid w:val="007E6E61"/>
    <w:rsid w:val="00D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-yahont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yh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2015-05-25T14:50:00Z</dcterms:created>
  <dcterms:modified xsi:type="dcterms:W3CDTF">2015-05-25T14:50:00Z</dcterms:modified>
</cp:coreProperties>
</file>